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29F8EDC" w:rsidR="00D6147A" w:rsidRDefault="0082135C" w:rsidP="0082135C">
      <w:hyperlink r:id="rId6" w:history="1">
        <w:r w:rsidRPr="005F67FD">
          <w:rPr>
            <w:rStyle w:val="Collegamentoipertestuale"/>
          </w:rPr>
          <w:t>https://www.borsaitaliana.it/borsa/notizie/teleborsa/finanza/prampolini-assiom-forex-in-europa-servono-cambio-di-passo-su-ai-e-investimenti-155_2025-02-14_TLB.html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teleborsa/finanza/prampolini-assiom-forex-in-europa-servono-cambio-di-passo-su-ai-e-investimenti-155_2025-02-14_TL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2025-02-19T15:52:00Z</dcterms:created>
  <dcterms:modified xsi:type="dcterms:W3CDTF">2025-02-19T15:52:00Z</dcterms:modified>
</cp:coreProperties>
</file>